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43B" w:rsidRDefault="00C2553A">
      <w:pPr>
        <w:jc w:val="center"/>
        <w:rPr>
          <w:sz w:val="24"/>
          <w:szCs w:val="24"/>
        </w:rPr>
      </w:pPr>
      <w:r>
        <w:rPr>
          <w:sz w:val="24"/>
          <w:szCs w:val="24"/>
        </w:rPr>
        <w:t>École du Cheval-Blanc</w:t>
      </w:r>
    </w:p>
    <w:p w:rsidR="00BF443B" w:rsidRDefault="00C2553A">
      <w:pPr>
        <w:shd w:val="clear" w:color="auto" w:fill="000000"/>
        <w:jc w:val="center"/>
        <w:rPr>
          <w:sz w:val="24"/>
          <w:szCs w:val="24"/>
        </w:rPr>
      </w:pPr>
      <w:r>
        <w:rPr>
          <w:sz w:val="24"/>
          <w:szCs w:val="24"/>
        </w:rPr>
        <w:t xml:space="preserve">Conseil d’établissement </w:t>
      </w:r>
    </w:p>
    <w:p w:rsidR="00BF443B" w:rsidRDefault="00C2553A">
      <w:pPr>
        <w:jc w:val="center"/>
        <w:rPr>
          <w:b/>
          <w:sz w:val="36"/>
          <w:szCs w:val="36"/>
        </w:rPr>
      </w:pPr>
      <w:r>
        <w:rPr>
          <w:b/>
          <w:sz w:val="36"/>
          <w:szCs w:val="36"/>
        </w:rPr>
        <w:t>Séance extraordinaire</w:t>
      </w:r>
    </w:p>
    <w:p w:rsidR="00BF443B" w:rsidRDefault="00C2553A">
      <w:pPr>
        <w:jc w:val="center"/>
        <w:rPr>
          <w:sz w:val="24"/>
          <w:szCs w:val="24"/>
        </w:rPr>
      </w:pPr>
      <w:r>
        <w:rPr>
          <w:sz w:val="24"/>
          <w:szCs w:val="24"/>
        </w:rPr>
        <w:t>Le 23 février 2022</w:t>
      </w:r>
    </w:p>
    <w:tbl>
      <w:tblPr>
        <w:tblStyle w:val="a"/>
        <w:tblW w:w="68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19"/>
        <w:gridCol w:w="420"/>
        <w:gridCol w:w="3073"/>
      </w:tblGrid>
      <w:tr w:rsidR="00BF443B">
        <w:trPr>
          <w:jc w:val="center"/>
        </w:trPr>
        <w:tc>
          <w:tcPr>
            <w:tcW w:w="3319" w:type="dxa"/>
          </w:tcPr>
          <w:p w:rsidR="00BF443B" w:rsidRDefault="00C2553A">
            <w:pPr>
              <w:jc w:val="center"/>
              <w:rPr>
                <w:b/>
                <w:sz w:val="24"/>
                <w:szCs w:val="24"/>
              </w:rPr>
            </w:pPr>
            <w:r>
              <w:rPr>
                <w:b/>
                <w:sz w:val="24"/>
                <w:szCs w:val="24"/>
              </w:rPr>
              <w:t>Parents</w:t>
            </w:r>
          </w:p>
        </w:tc>
        <w:tc>
          <w:tcPr>
            <w:tcW w:w="420" w:type="dxa"/>
          </w:tcPr>
          <w:p w:rsidR="00BF443B" w:rsidRDefault="00BF443B">
            <w:pPr>
              <w:jc w:val="center"/>
              <w:rPr>
                <w:b/>
                <w:sz w:val="24"/>
                <w:szCs w:val="24"/>
              </w:rPr>
            </w:pPr>
          </w:p>
        </w:tc>
        <w:tc>
          <w:tcPr>
            <w:tcW w:w="3073" w:type="dxa"/>
          </w:tcPr>
          <w:p w:rsidR="00BF443B" w:rsidRDefault="00C2553A">
            <w:pPr>
              <w:jc w:val="center"/>
              <w:rPr>
                <w:b/>
                <w:sz w:val="24"/>
                <w:szCs w:val="24"/>
              </w:rPr>
            </w:pPr>
            <w:r>
              <w:rPr>
                <w:b/>
                <w:sz w:val="24"/>
                <w:szCs w:val="24"/>
              </w:rPr>
              <w:t>Membres du personnel</w:t>
            </w:r>
          </w:p>
        </w:tc>
      </w:tr>
      <w:tr w:rsidR="00BF443B">
        <w:trPr>
          <w:jc w:val="center"/>
        </w:trPr>
        <w:tc>
          <w:tcPr>
            <w:tcW w:w="3319" w:type="dxa"/>
          </w:tcPr>
          <w:p w:rsidR="00BF443B" w:rsidRDefault="00C2553A">
            <w:pPr>
              <w:jc w:val="center"/>
              <w:rPr>
                <w:sz w:val="24"/>
                <w:szCs w:val="24"/>
              </w:rPr>
            </w:pPr>
            <w:proofErr w:type="spellStart"/>
            <w:r>
              <w:rPr>
                <w:sz w:val="24"/>
                <w:szCs w:val="24"/>
              </w:rPr>
              <w:t>Phylicia</w:t>
            </w:r>
            <w:proofErr w:type="spellEnd"/>
            <w:r>
              <w:rPr>
                <w:sz w:val="24"/>
                <w:szCs w:val="24"/>
              </w:rPr>
              <w:t xml:space="preserve"> </w:t>
            </w:r>
            <w:proofErr w:type="spellStart"/>
            <w:r>
              <w:rPr>
                <w:sz w:val="24"/>
                <w:szCs w:val="24"/>
              </w:rPr>
              <w:t>Lorng</w:t>
            </w:r>
            <w:proofErr w:type="spellEnd"/>
          </w:p>
        </w:tc>
        <w:tc>
          <w:tcPr>
            <w:tcW w:w="420" w:type="dxa"/>
          </w:tcPr>
          <w:p w:rsidR="00BF443B" w:rsidRDefault="00BF443B">
            <w:pPr>
              <w:jc w:val="center"/>
              <w:rPr>
                <w:sz w:val="24"/>
                <w:szCs w:val="24"/>
              </w:rPr>
            </w:pPr>
          </w:p>
        </w:tc>
        <w:tc>
          <w:tcPr>
            <w:tcW w:w="3073" w:type="dxa"/>
          </w:tcPr>
          <w:p w:rsidR="00BF443B" w:rsidRDefault="00C2553A">
            <w:pPr>
              <w:jc w:val="center"/>
              <w:rPr>
                <w:sz w:val="24"/>
                <w:szCs w:val="24"/>
              </w:rPr>
            </w:pPr>
            <w:r>
              <w:rPr>
                <w:sz w:val="24"/>
                <w:szCs w:val="24"/>
              </w:rPr>
              <w:t>Claudine Dumas</w:t>
            </w:r>
          </w:p>
        </w:tc>
      </w:tr>
      <w:tr w:rsidR="00BF443B">
        <w:trPr>
          <w:jc w:val="center"/>
        </w:trPr>
        <w:tc>
          <w:tcPr>
            <w:tcW w:w="3319" w:type="dxa"/>
          </w:tcPr>
          <w:p w:rsidR="00BF443B" w:rsidRDefault="00C2553A">
            <w:pPr>
              <w:jc w:val="center"/>
              <w:rPr>
                <w:sz w:val="24"/>
                <w:szCs w:val="24"/>
              </w:rPr>
            </w:pPr>
            <w:r>
              <w:rPr>
                <w:sz w:val="24"/>
                <w:szCs w:val="24"/>
              </w:rPr>
              <w:t xml:space="preserve">Ferdinand </w:t>
            </w:r>
            <w:proofErr w:type="spellStart"/>
            <w:r>
              <w:rPr>
                <w:sz w:val="24"/>
                <w:szCs w:val="24"/>
              </w:rPr>
              <w:t>Buzingo</w:t>
            </w:r>
            <w:proofErr w:type="spellEnd"/>
          </w:p>
        </w:tc>
        <w:tc>
          <w:tcPr>
            <w:tcW w:w="420" w:type="dxa"/>
          </w:tcPr>
          <w:p w:rsidR="00BF443B" w:rsidRDefault="00BF443B">
            <w:pPr>
              <w:jc w:val="center"/>
              <w:rPr>
                <w:sz w:val="24"/>
                <w:szCs w:val="24"/>
              </w:rPr>
            </w:pPr>
          </w:p>
        </w:tc>
        <w:tc>
          <w:tcPr>
            <w:tcW w:w="3073" w:type="dxa"/>
          </w:tcPr>
          <w:p w:rsidR="00BF443B" w:rsidRDefault="00C2553A">
            <w:pPr>
              <w:jc w:val="center"/>
              <w:rPr>
                <w:sz w:val="24"/>
                <w:szCs w:val="24"/>
              </w:rPr>
            </w:pPr>
            <w:r>
              <w:rPr>
                <w:sz w:val="24"/>
                <w:szCs w:val="24"/>
              </w:rPr>
              <w:t>Sophie Nadon</w:t>
            </w:r>
          </w:p>
        </w:tc>
      </w:tr>
      <w:tr w:rsidR="00BF443B">
        <w:trPr>
          <w:jc w:val="center"/>
        </w:trPr>
        <w:tc>
          <w:tcPr>
            <w:tcW w:w="3319" w:type="dxa"/>
          </w:tcPr>
          <w:p w:rsidR="00BF443B" w:rsidRDefault="00C2553A">
            <w:pPr>
              <w:jc w:val="center"/>
              <w:rPr>
                <w:sz w:val="24"/>
                <w:szCs w:val="24"/>
              </w:rPr>
            </w:pPr>
            <w:r>
              <w:rPr>
                <w:sz w:val="24"/>
                <w:szCs w:val="24"/>
              </w:rPr>
              <w:t>Tina Levasseur</w:t>
            </w:r>
          </w:p>
        </w:tc>
        <w:tc>
          <w:tcPr>
            <w:tcW w:w="420" w:type="dxa"/>
          </w:tcPr>
          <w:p w:rsidR="00BF443B" w:rsidRDefault="00BF443B">
            <w:pPr>
              <w:jc w:val="center"/>
              <w:rPr>
                <w:sz w:val="24"/>
                <w:szCs w:val="24"/>
              </w:rPr>
            </w:pPr>
          </w:p>
        </w:tc>
        <w:tc>
          <w:tcPr>
            <w:tcW w:w="3073" w:type="dxa"/>
          </w:tcPr>
          <w:p w:rsidR="00BF443B" w:rsidRDefault="00C2553A">
            <w:pPr>
              <w:jc w:val="center"/>
              <w:rPr>
                <w:sz w:val="24"/>
                <w:szCs w:val="24"/>
              </w:rPr>
            </w:pPr>
            <w:r>
              <w:rPr>
                <w:sz w:val="24"/>
                <w:szCs w:val="24"/>
              </w:rPr>
              <w:t>Frédérique Leblanc</w:t>
            </w:r>
          </w:p>
        </w:tc>
      </w:tr>
      <w:tr w:rsidR="00BF443B">
        <w:trPr>
          <w:jc w:val="center"/>
        </w:trPr>
        <w:tc>
          <w:tcPr>
            <w:tcW w:w="3319" w:type="dxa"/>
          </w:tcPr>
          <w:p w:rsidR="00BF443B" w:rsidRDefault="00C2553A">
            <w:pPr>
              <w:jc w:val="center"/>
              <w:rPr>
                <w:sz w:val="24"/>
                <w:szCs w:val="24"/>
              </w:rPr>
            </w:pPr>
            <w:r>
              <w:rPr>
                <w:sz w:val="24"/>
                <w:szCs w:val="24"/>
              </w:rPr>
              <w:t>Stéphanie Stuart</w:t>
            </w:r>
          </w:p>
        </w:tc>
        <w:tc>
          <w:tcPr>
            <w:tcW w:w="420" w:type="dxa"/>
          </w:tcPr>
          <w:p w:rsidR="00BF443B" w:rsidRDefault="00BF443B">
            <w:pPr>
              <w:jc w:val="center"/>
              <w:rPr>
                <w:sz w:val="24"/>
                <w:szCs w:val="24"/>
              </w:rPr>
            </w:pPr>
          </w:p>
        </w:tc>
        <w:tc>
          <w:tcPr>
            <w:tcW w:w="3073" w:type="dxa"/>
          </w:tcPr>
          <w:p w:rsidR="00BF443B" w:rsidRDefault="00C2553A">
            <w:pPr>
              <w:jc w:val="center"/>
              <w:rPr>
                <w:sz w:val="24"/>
                <w:szCs w:val="24"/>
              </w:rPr>
            </w:pPr>
            <w:r>
              <w:rPr>
                <w:sz w:val="24"/>
                <w:szCs w:val="24"/>
              </w:rPr>
              <w:t>Sara Bélanger-</w:t>
            </w:r>
            <w:proofErr w:type="spellStart"/>
            <w:r>
              <w:rPr>
                <w:sz w:val="24"/>
                <w:szCs w:val="24"/>
              </w:rPr>
              <w:t>Istead</w:t>
            </w:r>
            <w:proofErr w:type="spellEnd"/>
          </w:p>
        </w:tc>
      </w:tr>
      <w:tr w:rsidR="00BF443B">
        <w:trPr>
          <w:jc w:val="center"/>
        </w:trPr>
        <w:tc>
          <w:tcPr>
            <w:tcW w:w="3319" w:type="dxa"/>
          </w:tcPr>
          <w:p w:rsidR="00BF443B" w:rsidRDefault="00C2553A">
            <w:pPr>
              <w:jc w:val="center"/>
              <w:rPr>
                <w:sz w:val="24"/>
                <w:szCs w:val="24"/>
              </w:rPr>
            </w:pPr>
            <w:r>
              <w:rPr>
                <w:sz w:val="24"/>
                <w:szCs w:val="24"/>
              </w:rPr>
              <w:t>Valérie Dionne (présidente)</w:t>
            </w:r>
          </w:p>
        </w:tc>
        <w:tc>
          <w:tcPr>
            <w:tcW w:w="420" w:type="dxa"/>
          </w:tcPr>
          <w:p w:rsidR="00BF443B" w:rsidRDefault="00BF443B">
            <w:pPr>
              <w:jc w:val="center"/>
              <w:rPr>
                <w:sz w:val="24"/>
                <w:szCs w:val="24"/>
              </w:rPr>
            </w:pPr>
          </w:p>
        </w:tc>
        <w:tc>
          <w:tcPr>
            <w:tcW w:w="3073" w:type="dxa"/>
          </w:tcPr>
          <w:p w:rsidR="00BF443B" w:rsidRDefault="00C2553A">
            <w:pPr>
              <w:jc w:val="center"/>
              <w:rPr>
                <w:sz w:val="24"/>
                <w:szCs w:val="24"/>
              </w:rPr>
            </w:pPr>
            <w:proofErr w:type="spellStart"/>
            <w:r>
              <w:rPr>
                <w:sz w:val="24"/>
                <w:szCs w:val="24"/>
              </w:rPr>
              <w:t>Véronik</w:t>
            </w:r>
            <w:proofErr w:type="spellEnd"/>
            <w:r>
              <w:rPr>
                <w:sz w:val="24"/>
                <w:szCs w:val="24"/>
              </w:rPr>
              <w:t xml:space="preserve"> Groulx-Gagné</w:t>
            </w:r>
          </w:p>
        </w:tc>
      </w:tr>
      <w:tr w:rsidR="00BF443B">
        <w:trPr>
          <w:jc w:val="center"/>
        </w:trPr>
        <w:tc>
          <w:tcPr>
            <w:tcW w:w="3319" w:type="dxa"/>
          </w:tcPr>
          <w:p w:rsidR="00BF443B" w:rsidRDefault="00C2553A">
            <w:pPr>
              <w:jc w:val="center"/>
              <w:rPr>
                <w:sz w:val="24"/>
                <w:szCs w:val="24"/>
              </w:rPr>
            </w:pPr>
            <w:r>
              <w:rPr>
                <w:sz w:val="24"/>
                <w:szCs w:val="24"/>
              </w:rPr>
              <w:t>Jessica Guimond-</w:t>
            </w:r>
            <w:proofErr w:type="spellStart"/>
            <w:r>
              <w:rPr>
                <w:sz w:val="24"/>
                <w:szCs w:val="24"/>
              </w:rPr>
              <w:t>Beauseigle</w:t>
            </w:r>
            <w:proofErr w:type="spellEnd"/>
          </w:p>
        </w:tc>
        <w:tc>
          <w:tcPr>
            <w:tcW w:w="420" w:type="dxa"/>
          </w:tcPr>
          <w:p w:rsidR="00BF443B" w:rsidRDefault="00BF443B">
            <w:pPr>
              <w:jc w:val="center"/>
              <w:rPr>
                <w:sz w:val="24"/>
                <w:szCs w:val="24"/>
              </w:rPr>
            </w:pPr>
          </w:p>
        </w:tc>
        <w:tc>
          <w:tcPr>
            <w:tcW w:w="3073" w:type="dxa"/>
          </w:tcPr>
          <w:p w:rsidR="00BF443B" w:rsidRDefault="00C2553A">
            <w:pPr>
              <w:jc w:val="center"/>
              <w:rPr>
                <w:sz w:val="24"/>
                <w:szCs w:val="24"/>
              </w:rPr>
            </w:pPr>
            <w:r>
              <w:rPr>
                <w:sz w:val="24"/>
                <w:szCs w:val="24"/>
              </w:rPr>
              <w:t>Julie Mathieu</w:t>
            </w:r>
          </w:p>
        </w:tc>
      </w:tr>
      <w:tr w:rsidR="00BF443B">
        <w:trPr>
          <w:jc w:val="center"/>
        </w:trPr>
        <w:tc>
          <w:tcPr>
            <w:tcW w:w="3319" w:type="dxa"/>
          </w:tcPr>
          <w:p w:rsidR="00BF443B" w:rsidRDefault="00C2553A">
            <w:pPr>
              <w:jc w:val="center"/>
              <w:rPr>
                <w:sz w:val="24"/>
                <w:szCs w:val="24"/>
              </w:rPr>
            </w:pPr>
            <w:r>
              <w:rPr>
                <w:sz w:val="24"/>
                <w:szCs w:val="24"/>
              </w:rPr>
              <w:t>Kim Maisonneuve</w:t>
            </w:r>
          </w:p>
        </w:tc>
        <w:tc>
          <w:tcPr>
            <w:tcW w:w="420" w:type="dxa"/>
          </w:tcPr>
          <w:p w:rsidR="00BF443B" w:rsidRDefault="00BF443B">
            <w:pPr>
              <w:jc w:val="center"/>
              <w:rPr>
                <w:sz w:val="24"/>
                <w:szCs w:val="24"/>
              </w:rPr>
            </w:pPr>
          </w:p>
        </w:tc>
        <w:tc>
          <w:tcPr>
            <w:tcW w:w="3073" w:type="dxa"/>
          </w:tcPr>
          <w:p w:rsidR="00BF443B" w:rsidRDefault="00C2553A">
            <w:pPr>
              <w:jc w:val="center"/>
              <w:rPr>
                <w:sz w:val="24"/>
                <w:szCs w:val="24"/>
              </w:rPr>
            </w:pPr>
            <w:r>
              <w:rPr>
                <w:sz w:val="24"/>
                <w:szCs w:val="24"/>
              </w:rPr>
              <w:t>Isabelle Mondor</w:t>
            </w:r>
          </w:p>
        </w:tc>
      </w:tr>
      <w:tr w:rsidR="00BF443B">
        <w:trPr>
          <w:jc w:val="center"/>
        </w:trPr>
        <w:tc>
          <w:tcPr>
            <w:tcW w:w="3319" w:type="dxa"/>
          </w:tcPr>
          <w:p w:rsidR="00BF443B" w:rsidRDefault="00C2553A">
            <w:pPr>
              <w:jc w:val="center"/>
              <w:rPr>
                <w:sz w:val="24"/>
                <w:szCs w:val="24"/>
              </w:rPr>
            </w:pPr>
            <w:r>
              <w:rPr>
                <w:sz w:val="24"/>
                <w:szCs w:val="24"/>
              </w:rPr>
              <w:t xml:space="preserve">Guy </w:t>
            </w:r>
            <w:proofErr w:type="spellStart"/>
            <w:r>
              <w:rPr>
                <w:sz w:val="24"/>
                <w:szCs w:val="24"/>
              </w:rPr>
              <w:t>Kampaing</w:t>
            </w:r>
            <w:proofErr w:type="spellEnd"/>
          </w:p>
        </w:tc>
        <w:tc>
          <w:tcPr>
            <w:tcW w:w="420" w:type="dxa"/>
          </w:tcPr>
          <w:p w:rsidR="00BF443B" w:rsidRDefault="00BF443B">
            <w:pPr>
              <w:jc w:val="center"/>
              <w:rPr>
                <w:sz w:val="24"/>
                <w:szCs w:val="24"/>
              </w:rPr>
            </w:pPr>
          </w:p>
        </w:tc>
        <w:tc>
          <w:tcPr>
            <w:tcW w:w="3073" w:type="dxa"/>
          </w:tcPr>
          <w:p w:rsidR="00BF443B" w:rsidRDefault="00C2553A">
            <w:pPr>
              <w:jc w:val="center"/>
              <w:rPr>
                <w:sz w:val="24"/>
                <w:szCs w:val="24"/>
              </w:rPr>
            </w:pPr>
            <w:r>
              <w:rPr>
                <w:sz w:val="24"/>
                <w:szCs w:val="24"/>
              </w:rPr>
              <w:t>Patrick Courville</w:t>
            </w:r>
          </w:p>
        </w:tc>
      </w:tr>
      <w:tr w:rsidR="00BF443B">
        <w:trPr>
          <w:jc w:val="center"/>
        </w:trPr>
        <w:tc>
          <w:tcPr>
            <w:tcW w:w="3319" w:type="dxa"/>
          </w:tcPr>
          <w:p w:rsidR="00BF443B" w:rsidRDefault="00C2553A">
            <w:pPr>
              <w:jc w:val="center"/>
              <w:rPr>
                <w:b/>
                <w:sz w:val="24"/>
                <w:szCs w:val="24"/>
              </w:rPr>
            </w:pPr>
            <w:r>
              <w:rPr>
                <w:b/>
                <w:sz w:val="24"/>
                <w:szCs w:val="24"/>
              </w:rPr>
              <w:t>Membre de la communauté</w:t>
            </w:r>
          </w:p>
        </w:tc>
        <w:tc>
          <w:tcPr>
            <w:tcW w:w="420" w:type="dxa"/>
          </w:tcPr>
          <w:p w:rsidR="00BF443B" w:rsidRDefault="00BF443B">
            <w:pPr>
              <w:jc w:val="center"/>
              <w:rPr>
                <w:sz w:val="24"/>
                <w:szCs w:val="24"/>
              </w:rPr>
            </w:pPr>
          </w:p>
        </w:tc>
        <w:tc>
          <w:tcPr>
            <w:tcW w:w="3073" w:type="dxa"/>
          </w:tcPr>
          <w:p w:rsidR="00BF443B" w:rsidRDefault="00BF443B">
            <w:pPr>
              <w:jc w:val="center"/>
              <w:rPr>
                <w:sz w:val="24"/>
                <w:szCs w:val="24"/>
              </w:rPr>
            </w:pPr>
          </w:p>
        </w:tc>
      </w:tr>
      <w:tr w:rsidR="00BF443B">
        <w:trPr>
          <w:jc w:val="center"/>
        </w:trPr>
        <w:tc>
          <w:tcPr>
            <w:tcW w:w="3319" w:type="dxa"/>
          </w:tcPr>
          <w:p w:rsidR="00BF443B" w:rsidRDefault="00C2553A">
            <w:pPr>
              <w:jc w:val="center"/>
              <w:rPr>
                <w:sz w:val="24"/>
                <w:szCs w:val="24"/>
              </w:rPr>
            </w:pPr>
            <w:r>
              <w:rPr>
                <w:sz w:val="24"/>
                <w:szCs w:val="24"/>
              </w:rPr>
              <w:t>Jean Lessard</w:t>
            </w:r>
          </w:p>
        </w:tc>
        <w:tc>
          <w:tcPr>
            <w:tcW w:w="420" w:type="dxa"/>
          </w:tcPr>
          <w:p w:rsidR="00BF443B" w:rsidRDefault="00BF443B">
            <w:pPr>
              <w:jc w:val="center"/>
              <w:rPr>
                <w:sz w:val="24"/>
                <w:szCs w:val="24"/>
              </w:rPr>
            </w:pPr>
          </w:p>
        </w:tc>
        <w:tc>
          <w:tcPr>
            <w:tcW w:w="3073" w:type="dxa"/>
          </w:tcPr>
          <w:p w:rsidR="00BF443B" w:rsidRDefault="00BF443B">
            <w:pPr>
              <w:jc w:val="center"/>
              <w:rPr>
                <w:sz w:val="20"/>
                <w:szCs w:val="20"/>
              </w:rPr>
            </w:pPr>
          </w:p>
        </w:tc>
      </w:tr>
      <w:tr w:rsidR="00BF443B">
        <w:trPr>
          <w:jc w:val="center"/>
        </w:trPr>
        <w:tc>
          <w:tcPr>
            <w:tcW w:w="3319" w:type="dxa"/>
          </w:tcPr>
          <w:p w:rsidR="00BF443B" w:rsidRDefault="00BF443B">
            <w:pPr>
              <w:jc w:val="center"/>
              <w:rPr>
                <w:sz w:val="24"/>
                <w:szCs w:val="24"/>
              </w:rPr>
            </w:pPr>
          </w:p>
        </w:tc>
        <w:tc>
          <w:tcPr>
            <w:tcW w:w="420" w:type="dxa"/>
          </w:tcPr>
          <w:p w:rsidR="00BF443B" w:rsidRDefault="00BF443B">
            <w:pPr>
              <w:jc w:val="center"/>
              <w:rPr>
                <w:sz w:val="24"/>
                <w:szCs w:val="24"/>
              </w:rPr>
            </w:pPr>
          </w:p>
        </w:tc>
        <w:tc>
          <w:tcPr>
            <w:tcW w:w="3073" w:type="dxa"/>
          </w:tcPr>
          <w:p w:rsidR="00BF443B" w:rsidRDefault="00BF443B">
            <w:pPr>
              <w:jc w:val="center"/>
              <w:rPr>
                <w:sz w:val="20"/>
                <w:szCs w:val="20"/>
              </w:rPr>
            </w:pPr>
          </w:p>
        </w:tc>
      </w:tr>
    </w:tbl>
    <w:p w:rsidR="00BF443B" w:rsidRDefault="00BF443B">
      <w:pPr>
        <w:jc w:val="center"/>
        <w:rPr>
          <w:sz w:val="24"/>
          <w:szCs w:val="24"/>
        </w:rPr>
      </w:pPr>
    </w:p>
    <w:p w:rsidR="00BF443B" w:rsidRDefault="00BF443B">
      <w:pPr>
        <w:jc w:val="center"/>
        <w:rPr>
          <w:sz w:val="24"/>
          <w:szCs w:val="24"/>
        </w:rPr>
      </w:pPr>
    </w:p>
    <w:tbl>
      <w:tblPr>
        <w:tblStyle w:val="a0"/>
        <w:tblW w:w="10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
        <w:gridCol w:w="1052"/>
        <w:gridCol w:w="758"/>
        <w:gridCol w:w="3060"/>
        <w:gridCol w:w="4961"/>
      </w:tblGrid>
      <w:tr w:rsidR="00BF443B">
        <w:trPr>
          <w:jc w:val="center"/>
        </w:trPr>
        <w:tc>
          <w:tcPr>
            <w:tcW w:w="937" w:type="dxa"/>
            <w:shd w:val="clear" w:color="auto" w:fill="E7E6E6"/>
            <w:vAlign w:val="center"/>
          </w:tcPr>
          <w:p w:rsidR="00BF443B" w:rsidRDefault="00C2553A">
            <w:pPr>
              <w:jc w:val="center"/>
              <w:rPr>
                <w:rFonts w:ascii="Arial" w:eastAsia="Arial" w:hAnsi="Arial" w:cs="Arial"/>
                <w:b/>
                <w:sz w:val="16"/>
                <w:szCs w:val="16"/>
              </w:rPr>
            </w:pPr>
            <w:r>
              <w:rPr>
                <w:rFonts w:ascii="Arial" w:eastAsia="Arial" w:hAnsi="Arial" w:cs="Arial"/>
                <w:b/>
                <w:sz w:val="16"/>
                <w:szCs w:val="16"/>
              </w:rPr>
              <w:t>Décision</w:t>
            </w:r>
          </w:p>
          <w:p w:rsidR="00BF443B" w:rsidRDefault="00C2553A">
            <w:pPr>
              <w:jc w:val="center"/>
              <w:rPr>
                <w:rFonts w:ascii="Arial" w:eastAsia="Arial" w:hAnsi="Arial" w:cs="Arial"/>
                <w:b/>
                <w:sz w:val="16"/>
                <w:szCs w:val="16"/>
              </w:rPr>
            </w:pPr>
            <w:r>
              <w:rPr>
                <w:rFonts w:ascii="Arial" w:eastAsia="Arial" w:hAnsi="Arial" w:cs="Arial"/>
                <w:b/>
                <w:sz w:val="16"/>
                <w:szCs w:val="16"/>
              </w:rPr>
              <w:t>ou</w:t>
            </w:r>
          </w:p>
          <w:p w:rsidR="00BF443B" w:rsidRDefault="00C2553A">
            <w:pPr>
              <w:jc w:val="center"/>
              <w:rPr>
                <w:rFonts w:ascii="Arial" w:eastAsia="Arial" w:hAnsi="Arial" w:cs="Arial"/>
                <w:b/>
                <w:sz w:val="16"/>
                <w:szCs w:val="16"/>
              </w:rPr>
            </w:pPr>
            <w:proofErr w:type="spellStart"/>
            <w:r>
              <w:rPr>
                <w:rFonts w:ascii="Arial" w:eastAsia="Arial" w:hAnsi="Arial" w:cs="Arial"/>
                <w:b/>
                <w:sz w:val="16"/>
                <w:szCs w:val="16"/>
              </w:rPr>
              <w:t>Recomm</w:t>
            </w:r>
            <w:proofErr w:type="spellEnd"/>
            <w:r>
              <w:rPr>
                <w:rFonts w:ascii="Arial" w:eastAsia="Arial" w:hAnsi="Arial" w:cs="Arial"/>
                <w:b/>
                <w:sz w:val="16"/>
                <w:szCs w:val="16"/>
              </w:rPr>
              <w:t>.</w:t>
            </w:r>
          </w:p>
        </w:tc>
        <w:tc>
          <w:tcPr>
            <w:tcW w:w="1052" w:type="dxa"/>
            <w:shd w:val="clear" w:color="auto" w:fill="E7E6E6"/>
            <w:vAlign w:val="center"/>
          </w:tcPr>
          <w:p w:rsidR="00BF443B" w:rsidRDefault="00C2553A">
            <w:pPr>
              <w:jc w:val="center"/>
              <w:rPr>
                <w:rFonts w:ascii="Arial" w:eastAsia="Arial" w:hAnsi="Arial" w:cs="Arial"/>
                <w:b/>
                <w:sz w:val="16"/>
                <w:szCs w:val="16"/>
              </w:rPr>
            </w:pPr>
            <w:r>
              <w:rPr>
                <w:rFonts w:ascii="Arial" w:eastAsia="Arial" w:hAnsi="Arial" w:cs="Arial"/>
                <w:b/>
                <w:sz w:val="16"/>
                <w:szCs w:val="16"/>
              </w:rPr>
              <w:t>Info ou</w:t>
            </w:r>
          </w:p>
          <w:p w:rsidR="00BF443B" w:rsidRDefault="00C2553A">
            <w:pPr>
              <w:jc w:val="center"/>
              <w:rPr>
                <w:rFonts w:ascii="Arial" w:eastAsia="Arial" w:hAnsi="Arial" w:cs="Arial"/>
                <w:b/>
                <w:sz w:val="16"/>
                <w:szCs w:val="16"/>
              </w:rPr>
            </w:pPr>
            <w:r>
              <w:rPr>
                <w:rFonts w:ascii="Arial" w:eastAsia="Arial" w:hAnsi="Arial" w:cs="Arial"/>
                <w:b/>
                <w:sz w:val="16"/>
                <w:szCs w:val="16"/>
              </w:rPr>
              <w:t>discussion</w:t>
            </w:r>
          </w:p>
        </w:tc>
        <w:tc>
          <w:tcPr>
            <w:tcW w:w="8779" w:type="dxa"/>
            <w:gridSpan w:val="3"/>
            <w:shd w:val="clear" w:color="auto" w:fill="E7E6E6"/>
            <w:vAlign w:val="center"/>
          </w:tcPr>
          <w:p w:rsidR="00BF443B" w:rsidRDefault="00C2553A">
            <w:pPr>
              <w:jc w:val="center"/>
              <w:rPr>
                <w:rFonts w:ascii="Arial" w:eastAsia="Arial" w:hAnsi="Arial" w:cs="Arial"/>
                <w:b/>
                <w:sz w:val="24"/>
                <w:szCs w:val="24"/>
              </w:rPr>
            </w:pPr>
            <w:proofErr w:type="spellStart"/>
            <w:r>
              <w:rPr>
                <w:rFonts w:ascii="Arial" w:eastAsia="Arial" w:hAnsi="Arial" w:cs="Arial"/>
                <w:b/>
                <w:sz w:val="24"/>
                <w:szCs w:val="24"/>
              </w:rPr>
              <w:t>Procès verbal</w:t>
            </w:r>
            <w:proofErr w:type="spellEnd"/>
          </w:p>
        </w:tc>
      </w:tr>
      <w:tr w:rsidR="00BF443B">
        <w:trPr>
          <w:jc w:val="center"/>
        </w:trPr>
        <w:tc>
          <w:tcPr>
            <w:tcW w:w="937" w:type="dxa"/>
            <w:vAlign w:val="center"/>
          </w:tcPr>
          <w:p w:rsidR="00BF443B" w:rsidRDefault="00C2553A">
            <w:pPr>
              <w:jc w:val="center"/>
              <w:rPr>
                <w:sz w:val="28"/>
                <w:szCs w:val="28"/>
              </w:rPr>
            </w:pPr>
            <w:r>
              <w:rPr>
                <w:sz w:val="28"/>
                <w:szCs w:val="28"/>
              </w:rPr>
              <w:t>x</w:t>
            </w:r>
          </w:p>
        </w:tc>
        <w:tc>
          <w:tcPr>
            <w:tcW w:w="1052" w:type="dxa"/>
            <w:vAlign w:val="center"/>
          </w:tcPr>
          <w:p w:rsidR="00BF443B" w:rsidRDefault="00BF443B">
            <w:pPr>
              <w:jc w:val="center"/>
              <w:rPr>
                <w:sz w:val="28"/>
                <w:szCs w:val="28"/>
              </w:rPr>
            </w:pPr>
          </w:p>
        </w:tc>
        <w:tc>
          <w:tcPr>
            <w:tcW w:w="758" w:type="dxa"/>
            <w:tcBorders>
              <w:top w:val="nil"/>
              <w:bottom w:val="single" w:sz="4" w:space="0" w:color="FFFFFF"/>
            </w:tcBorders>
            <w:shd w:val="clear" w:color="auto" w:fill="000000"/>
            <w:vAlign w:val="center"/>
          </w:tcPr>
          <w:p w:rsidR="00BF443B" w:rsidRDefault="00C2553A">
            <w:pPr>
              <w:rPr>
                <w:color w:val="FFFFFF"/>
                <w:sz w:val="24"/>
                <w:szCs w:val="24"/>
              </w:rPr>
            </w:pPr>
            <w:r>
              <w:rPr>
                <w:color w:val="FFFFFF"/>
                <w:sz w:val="24"/>
                <w:szCs w:val="24"/>
              </w:rPr>
              <w:t>1</w:t>
            </w:r>
          </w:p>
        </w:tc>
        <w:tc>
          <w:tcPr>
            <w:tcW w:w="3060" w:type="dxa"/>
            <w:vAlign w:val="center"/>
          </w:tcPr>
          <w:p w:rsidR="00BF443B" w:rsidRDefault="00C2553A">
            <w:pPr>
              <w:rPr>
                <w:sz w:val="24"/>
                <w:szCs w:val="24"/>
              </w:rPr>
            </w:pPr>
            <w:r>
              <w:rPr>
                <w:sz w:val="24"/>
                <w:szCs w:val="24"/>
              </w:rPr>
              <w:t xml:space="preserve">Ouverture de l’assemblée et mot de bienvenue : prise des présences </w:t>
            </w:r>
          </w:p>
          <w:p w:rsidR="00BF443B" w:rsidRDefault="00BF443B">
            <w:pPr>
              <w:rPr>
                <w:sz w:val="24"/>
                <w:szCs w:val="24"/>
              </w:rPr>
            </w:pPr>
          </w:p>
        </w:tc>
        <w:tc>
          <w:tcPr>
            <w:tcW w:w="4961" w:type="dxa"/>
            <w:vAlign w:val="center"/>
          </w:tcPr>
          <w:p w:rsidR="00BF443B" w:rsidRDefault="00C2553A">
            <w:pPr>
              <w:rPr>
                <w:b/>
              </w:rPr>
            </w:pPr>
            <w:r>
              <w:rPr>
                <w:b/>
              </w:rPr>
              <w:t>proposée par Mme Claudine Dumas</w:t>
            </w:r>
          </w:p>
          <w:p w:rsidR="00BF443B" w:rsidRDefault="00BF443B">
            <w:pPr>
              <w:rPr>
                <w:b/>
              </w:rPr>
            </w:pPr>
          </w:p>
          <w:p w:rsidR="00BF443B" w:rsidRDefault="00BF443B">
            <w:pPr>
              <w:rPr>
                <w:b/>
              </w:rPr>
            </w:pPr>
          </w:p>
          <w:p w:rsidR="00BF443B" w:rsidRDefault="00BF443B"/>
        </w:tc>
      </w:tr>
      <w:tr w:rsidR="00BF443B">
        <w:trPr>
          <w:jc w:val="center"/>
        </w:trPr>
        <w:tc>
          <w:tcPr>
            <w:tcW w:w="937" w:type="dxa"/>
            <w:vAlign w:val="center"/>
          </w:tcPr>
          <w:p w:rsidR="00BF443B" w:rsidRDefault="00C2553A">
            <w:pPr>
              <w:jc w:val="center"/>
              <w:rPr>
                <w:sz w:val="28"/>
                <w:szCs w:val="28"/>
              </w:rPr>
            </w:pPr>
            <w:r>
              <w:rPr>
                <w:sz w:val="28"/>
                <w:szCs w:val="28"/>
              </w:rPr>
              <w:t>x</w:t>
            </w:r>
          </w:p>
        </w:tc>
        <w:tc>
          <w:tcPr>
            <w:tcW w:w="1052" w:type="dxa"/>
            <w:vAlign w:val="center"/>
          </w:tcPr>
          <w:p w:rsidR="00BF443B" w:rsidRDefault="00BF443B">
            <w:pPr>
              <w:jc w:val="center"/>
              <w:rPr>
                <w:sz w:val="28"/>
                <w:szCs w:val="28"/>
              </w:rPr>
            </w:pPr>
          </w:p>
        </w:tc>
        <w:tc>
          <w:tcPr>
            <w:tcW w:w="758" w:type="dxa"/>
            <w:tcBorders>
              <w:top w:val="single" w:sz="4" w:space="0" w:color="FFFFFF"/>
              <w:bottom w:val="single" w:sz="4" w:space="0" w:color="FFFFFF"/>
            </w:tcBorders>
            <w:shd w:val="clear" w:color="auto" w:fill="000000"/>
            <w:vAlign w:val="center"/>
          </w:tcPr>
          <w:p w:rsidR="00BF443B" w:rsidRDefault="00C2553A">
            <w:pPr>
              <w:rPr>
                <w:color w:val="FFFFFF"/>
                <w:sz w:val="24"/>
                <w:szCs w:val="24"/>
              </w:rPr>
            </w:pPr>
            <w:r>
              <w:rPr>
                <w:color w:val="FFFFFF"/>
                <w:sz w:val="24"/>
                <w:szCs w:val="24"/>
              </w:rPr>
              <w:t>2</w:t>
            </w:r>
          </w:p>
        </w:tc>
        <w:tc>
          <w:tcPr>
            <w:tcW w:w="3060" w:type="dxa"/>
            <w:vAlign w:val="center"/>
          </w:tcPr>
          <w:p w:rsidR="00BF443B" w:rsidRDefault="00C2553A">
            <w:pPr>
              <w:rPr>
                <w:sz w:val="24"/>
                <w:szCs w:val="24"/>
              </w:rPr>
            </w:pPr>
            <w:r>
              <w:rPr>
                <w:sz w:val="24"/>
                <w:szCs w:val="24"/>
              </w:rPr>
              <w:t>Lecture et adoption de l’ordre du jour</w:t>
            </w:r>
          </w:p>
        </w:tc>
        <w:tc>
          <w:tcPr>
            <w:tcW w:w="4961" w:type="dxa"/>
            <w:vAlign w:val="center"/>
          </w:tcPr>
          <w:p w:rsidR="00BF443B" w:rsidRDefault="00C2553A">
            <w:pPr>
              <w:rPr>
                <w:b/>
              </w:rPr>
            </w:pPr>
            <w:r>
              <w:rPr>
                <w:b/>
              </w:rPr>
              <w:t>proposée par Mme Julie Mathieu</w:t>
            </w:r>
          </w:p>
          <w:p w:rsidR="00BF443B" w:rsidRDefault="00BF443B"/>
        </w:tc>
      </w:tr>
      <w:tr w:rsidR="00BF443B">
        <w:trPr>
          <w:jc w:val="center"/>
        </w:trPr>
        <w:tc>
          <w:tcPr>
            <w:tcW w:w="937" w:type="dxa"/>
            <w:vAlign w:val="center"/>
          </w:tcPr>
          <w:p w:rsidR="00BF443B" w:rsidRDefault="00C2553A">
            <w:pPr>
              <w:jc w:val="center"/>
              <w:rPr>
                <w:sz w:val="28"/>
                <w:szCs w:val="28"/>
              </w:rPr>
            </w:pPr>
            <w:r>
              <w:rPr>
                <w:sz w:val="28"/>
                <w:szCs w:val="28"/>
              </w:rPr>
              <w:t>x</w:t>
            </w:r>
          </w:p>
        </w:tc>
        <w:tc>
          <w:tcPr>
            <w:tcW w:w="1052" w:type="dxa"/>
            <w:vAlign w:val="center"/>
          </w:tcPr>
          <w:p w:rsidR="00BF443B" w:rsidRDefault="00BF443B">
            <w:pPr>
              <w:jc w:val="center"/>
              <w:rPr>
                <w:sz w:val="28"/>
                <w:szCs w:val="28"/>
              </w:rPr>
            </w:pPr>
          </w:p>
        </w:tc>
        <w:tc>
          <w:tcPr>
            <w:tcW w:w="758" w:type="dxa"/>
            <w:tcBorders>
              <w:top w:val="single" w:sz="4" w:space="0" w:color="FFFFFF"/>
              <w:bottom w:val="single" w:sz="4" w:space="0" w:color="FFFFFF"/>
            </w:tcBorders>
            <w:shd w:val="clear" w:color="auto" w:fill="000000"/>
            <w:vAlign w:val="center"/>
          </w:tcPr>
          <w:p w:rsidR="00BF443B" w:rsidRDefault="00C2553A">
            <w:pPr>
              <w:rPr>
                <w:color w:val="FFFFFF"/>
                <w:sz w:val="24"/>
                <w:szCs w:val="24"/>
              </w:rPr>
            </w:pPr>
            <w:r>
              <w:rPr>
                <w:color w:val="FFFFFF"/>
                <w:sz w:val="24"/>
                <w:szCs w:val="24"/>
              </w:rPr>
              <w:t>3</w:t>
            </w:r>
          </w:p>
        </w:tc>
        <w:tc>
          <w:tcPr>
            <w:tcW w:w="3060" w:type="dxa"/>
            <w:vAlign w:val="center"/>
          </w:tcPr>
          <w:p w:rsidR="00BF443B" w:rsidRDefault="00C2553A">
            <w:pPr>
              <w:rPr>
                <w:sz w:val="24"/>
                <w:szCs w:val="24"/>
              </w:rPr>
            </w:pPr>
            <w:r>
              <w:rPr>
                <w:sz w:val="24"/>
                <w:szCs w:val="24"/>
              </w:rPr>
              <w:t>Reddition de compte portant sur les mesures protégées destinées à l’école du Cheval-Blanc</w:t>
            </w:r>
          </w:p>
        </w:tc>
        <w:tc>
          <w:tcPr>
            <w:tcW w:w="4961" w:type="dxa"/>
            <w:vAlign w:val="center"/>
          </w:tcPr>
          <w:p w:rsidR="00BF443B" w:rsidRDefault="00C2553A">
            <w:pPr>
              <w:rPr>
                <w:b/>
              </w:rPr>
            </w:pPr>
            <w:r>
              <w:rPr>
                <w:b/>
              </w:rPr>
              <w:t>M. Courville explique que le montant transmis par le CSS est moindre que dans le passé puisque le ministère exige une reddition de compte plus ciblée.</w:t>
            </w:r>
          </w:p>
          <w:p w:rsidR="00BF443B" w:rsidRDefault="00BF443B">
            <w:pPr>
              <w:rPr>
                <w:b/>
              </w:rPr>
            </w:pPr>
          </w:p>
          <w:p w:rsidR="00BF443B" w:rsidRDefault="00C2553A">
            <w:pPr>
              <w:rPr>
                <w:b/>
              </w:rPr>
            </w:pPr>
            <w:r>
              <w:rPr>
                <w:b/>
              </w:rPr>
              <w:t>point 15012: a</w:t>
            </w:r>
            <w:r>
              <w:rPr>
                <w:b/>
              </w:rPr>
              <w:t>ide alimentaire - utilisé pour payer des repas aux élèves démunis ou encore les élèves qui n’ont pas de dîner. Aussi utilisé pour les activités culinaires en salle de classe ou au service de garde.</w:t>
            </w:r>
          </w:p>
          <w:p w:rsidR="00BF443B" w:rsidRDefault="00BF443B">
            <w:pPr>
              <w:rPr>
                <w:b/>
              </w:rPr>
            </w:pPr>
          </w:p>
          <w:p w:rsidR="00BF443B" w:rsidRDefault="00C2553A">
            <w:pPr>
              <w:rPr>
                <w:b/>
              </w:rPr>
            </w:pPr>
            <w:r>
              <w:rPr>
                <w:b/>
              </w:rPr>
              <w:t>point 15021: Utilisé pour le tutorat et le mentorat, 8 en</w:t>
            </w:r>
            <w:r>
              <w:rPr>
                <w:b/>
              </w:rPr>
              <w:t>seignantes s’occupent du tutorat et appuient leurs collègues 1 heure par semaine.</w:t>
            </w:r>
          </w:p>
          <w:p w:rsidR="00BF443B" w:rsidRDefault="00C2553A">
            <w:pPr>
              <w:rPr>
                <w:b/>
              </w:rPr>
            </w:pPr>
            <w:r>
              <w:rPr>
                <w:b/>
              </w:rPr>
              <w:t xml:space="preserve">Mentorat: 1 enseignante libérée à 20% pour appuyer les nouveaux enseignants.  </w:t>
            </w:r>
          </w:p>
          <w:p w:rsidR="00BF443B" w:rsidRDefault="00BF443B">
            <w:pPr>
              <w:rPr>
                <w:b/>
              </w:rPr>
            </w:pPr>
          </w:p>
          <w:p w:rsidR="00BF443B" w:rsidRDefault="00C2553A">
            <w:pPr>
              <w:rPr>
                <w:b/>
              </w:rPr>
            </w:pPr>
            <w:r>
              <w:rPr>
                <w:b/>
              </w:rPr>
              <w:t>point 15023: Utilisé pour acheter de l’équipement d’éducation physique.</w:t>
            </w:r>
          </w:p>
          <w:p w:rsidR="00BF443B" w:rsidRDefault="00BF443B">
            <w:pPr>
              <w:rPr>
                <w:b/>
              </w:rPr>
            </w:pPr>
          </w:p>
          <w:p w:rsidR="00BF443B" w:rsidRDefault="00C2553A">
            <w:pPr>
              <w:rPr>
                <w:b/>
              </w:rPr>
            </w:pPr>
            <w:r>
              <w:rPr>
                <w:b/>
              </w:rPr>
              <w:t>point 15029: Utilisé pour embaucher des TES pour appuyer avec EHDAA</w:t>
            </w:r>
          </w:p>
          <w:p w:rsidR="00BF443B" w:rsidRDefault="00BF443B">
            <w:pPr>
              <w:rPr>
                <w:b/>
              </w:rPr>
            </w:pPr>
          </w:p>
          <w:p w:rsidR="00BF443B" w:rsidRDefault="00C2553A">
            <w:pPr>
              <w:rPr>
                <w:b/>
              </w:rPr>
            </w:pPr>
            <w:r>
              <w:rPr>
                <w:b/>
              </w:rPr>
              <w:t xml:space="preserve">point 15103: Ce budget sera dépensé cette année malgré que l’école </w:t>
            </w:r>
            <w:proofErr w:type="gramStart"/>
            <w:r>
              <w:rPr>
                <w:b/>
              </w:rPr>
              <w:t>doit</w:t>
            </w:r>
            <w:proofErr w:type="gramEnd"/>
            <w:r>
              <w:rPr>
                <w:b/>
              </w:rPr>
              <w:t xml:space="preserve"> fournir ⅓ de la somme.</w:t>
            </w:r>
          </w:p>
          <w:p w:rsidR="00BF443B" w:rsidRDefault="00BF443B">
            <w:pPr>
              <w:rPr>
                <w:b/>
              </w:rPr>
            </w:pPr>
          </w:p>
          <w:p w:rsidR="00BF443B" w:rsidRDefault="00C2553A">
            <w:pPr>
              <w:rPr>
                <w:b/>
              </w:rPr>
            </w:pPr>
            <w:r>
              <w:rPr>
                <w:b/>
              </w:rPr>
              <w:t>point 15186: Avec les assouplissements des mesures sanitaires on espère le retour des sorties scolaires.</w:t>
            </w:r>
          </w:p>
          <w:p w:rsidR="00BF443B" w:rsidRDefault="00BF443B">
            <w:pPr>
              <w:rPr>
                <w:b/>
              </w:rPr>
            </w:pPr>
          </w:p>
          <w:p w:rsidR="00BF443B" w:rsidRDefault="00C2553A">
            <w:pPr>
              <w:spacing w:before="40" w:after="160" w:line="276" w:lineRule="auto"/>
              <w:jc w:val="both"/>
              <w:rPr>
                <w:color w:val="595959"/>
              </w:rPr>
            </w:pPr>
            <w:r>
              <w:rPr>
                <w:color w:val="595959"/>
              </w:rPr>
              <w:t xml:space="preserve">IL EST PROPOSÉ par Mme </w:t>
            </w:r>
            <w:proofErr w:type="spellStart"/>
            <w:r>
              <w:rPr>
                <w:color w:val="595959"/>
              </w:rPr>
              <w:t>Phylicia</w:t>
            </w:r>
            <w:proofErr w:type="spellEnd"/>
            <w:r>
              <w:rPr>
                <w:color w:val="595959"/>
              </w:rPr>
              <w:t xml:space="preserve"> </w:t>
            </w:r>
            <w:proofErr w:type="spellStart"/>
            <w:r>
              <w:rPr>
                <w:color w:val="595959"/>
              </w:rPr>
              <w:t>Lorng</w:t>
            </w:r>
            <w:proofErr w:type="spellEnd"/>
            <w:r>
              <w:rPr>
                <w:sz w:val="24"/>
                <w:szCs w:val="24"/>
              </w:rPr>
              <w:t xml:space="preserve"> </w:t>
            </w:r>
            <w:r>
              <w:rPr>
                <w:color w:val="595959"/>
              </w:rPr>
              <w:t xml:space="preserve">que </w:t>
            </w:r>
            <w:r>
              <w:rPr>
                <w:i/>
                <w:color w:val="595959"/>
              </w:rPr>
              <w:t xml:space="preserve">l’Attestation des montants reçus par votre établissement pour les mesures protégées </w:t>
            </w:r>
            <w:r>
              <w:rPr>
                <w:color w:val="595959"/>
              </w:rPr>
              <w:t>de l’école du Cheval-Bla</w:t>
            </w:r>
            <w:r>
              <w:rPr>
                <w:color w:val="595959"/>
              </w:rPr>
              <w:t>nc pour l’année scolaire 2021-2022 soit adoptée.</w:t>
            </w:r>
          </w:p>
          <w:p w:rsidR="00BF443B" w:rsidRDefault="00BF443B">
            <w:pPr>
              <w:spacing w:before="40" w:after="160" w:line="276" w:lineRule="auto"/>
              <w:jc w:val="both"/>
              <w:rPr>
                <w:color w:val="595959"/>
              </w:rPr>
            </w:pPr>
          </w:p>
          <w:p w:rsidR="00BF443B" w:rsidRDefault="00C2553A">
            <w:pPr>
              <w:spacing w:before="40" w:after="160" w:line="276" w:lineRule="auto"/>
              <w:jc w:val="both"/>
              <w:rPr>
                <w:b/>
              </w:rPr>
            </w:pPr>
            <w:r>
              <w:rPr>
                <w:color w:val="595959"/>
              </w:rPr>
              <w:t>Voté à l’unanimité</w:t>
            </w:r>
          </w:p>
          <w:p w:rsidR="00BF443B" w:rsidRDefault="00BF443B"/>
        </w:tc>
      </w:tr>
      <w:tr w:rsidR="00BF443B">
        <w:trPr>
          <w:jc w:val="center"/>
        </w:trPr>
        <w:tc>
          <w:tcPr>
            <w:tcW w:w="937" w:type="dxa"/>
            <w:vAlign w:val="center"/>
          </w:tcPr>
          <w:p w:rsidR="00BF443B" w:rsidRDefault="00C2553A">
            <w:pPr>
              <w:jc w:val="center"/>
              <w:rPr>
                <w:sz w:val="28"/>
                <w:szCs w:val="28"/>
              </w:rPr>
            </w:pPr>
            <w:r>
              <w:rPr>
                <w:sz w:val="28"/>
                <w:szCs w:val="28"/>
              </w:rPr>
              <w:t>x</w:t>
            </w:r>
          </w:p>
        </w:tc>
        <w:tc>
          <w:tcPr>
            <w:tcW w:w="1052" w:type="dxa"/>
            <w:vAlign w:val="center"/>
          </w:tcPr>
          <w:p w:rsidR="00BF443B" w:rsidRDefault="00BF443B">
            <w:pPr>
              <w:jc w:val="center"/>
              <w:rPr>
                <w:sz w:val="28"/>
                <w:szCs w:val="28"/>
              </w:rPr>
            </w:pPr>
          </w:p>
        </w:tc>
        <w:tc>
          <w:tcPr>
            <w:tcW w:w="758" w:type="dxa"/>
            <w:tcBorders>
              <w:top w:val="single" w:sz="4" w:space="0" w:color="FFFFFF"/>
              <w:bottom w:val="single" w:sz="4" w:space="0" w:color="FFFFFF"/>
            </w:tcBorders>
            <w:shd w:val="clear" w:color="auto" w:fill="000000"/>
            <w:vAlign w:val="center"/>
          </w:tcPr>
          <w:p w:rsidR="00BF443B" w:rsidRDefault="00C2553A">
            <w:pPr>
              <w:rPr>
                <w:color w:val="FFFFFF"/>
                <w:sz w:val="24"/>
                <w:szCs w:val="24"/>
              </w:rPr>
            </w:pPr>
            <w:r>
              <w:rPr>
                <w:color w:val="FFFFFF"/>
                <w:sz w:val="24"/>
                <w:szCs w:val="24"/>
              </w:rPr>
              <w:t>4</w:t>
            </w:r>
          </w:p>
        </w:tc>
        <w:tc>
          <w:tcPr>
            <w:tcW w:w="3060" w:type="dxa"/>
            <w:vAlign w:val="center"/>
          </w:tcPr>
          <w:p w:rsidR="00BF443B" w:rsidRDefault="00C2553A">
            <w:pPr>
              <w:rPr>
                <w:sz w:val="24"/>
                <w:szCs w:val="24"/>
              </w:rPr>
            </w:pPr>
            <w:r>
              <w:rPr>
                <w:sz w:val="24"/>
                <w:szCs w:val="24"/>
              </w:rPr>
              <w:t>Consultation portant sur la politique 56-13-01</w:t>
            </w:r>
          </w:p>
        </w:tc>
        <w:tc>
          <w:tcPr>
            <w:tcW w:w="4961" w:type="dxa"/>
            <w:vAlign w:val="center"/>
          </w:tcPr>
          <w:p w:rsidR="00BF443B" w:rsidRDefault="00C2553A">
            <w:pPr>
              <w:rPr>
                <w:b/>
              </w:rPr>
            </w:pPr>
            <w:r>
              <w:rPr>
                <w:b/>
              </w:rPr>
              <w:t>M. Courville explique qu’en gros la révision de la politique vise à décentraliser les ressources financières et amener les écoles à se gouverner de façon plus autonome.</w:t>
            </w:r>
          </w:p>
          <w:p w:rsidR="00BF443B" w:rsidRDefault="00BF443B">
            <w:pPr>
              <w:rPr>
                <w:b/>
              </w:rPr>
            </w:pPr>
          </w:p>
          <w:p w:rsidR="00BF443B" w:rsidRDefault="00C2553A">
            <w:pPr>
              <w:rPr>
                <w:b/>
              </w:rPr>
            </w:pPr>
            <w:r>
              <w:rPr>
                <w:b/>
              </w:rPr>
              <w:t>Proposée par Mme Véronique Groulx-Gagné</w:t>
            </w:r>
          </w:p>
          <w:p w:rsidR="00BF443B" w:rsidRDefault="00C2553A">
            <w:pPr>
              <w:rPr>
                <w:b/>
              </w:rPr>
            </w:pPr>
            <w:r>
              <w:rPr>
                <w:b/>
              </w:rPr>
              <w:t>Appuyé à l’unanimité</w:t>
            </w:r>
          </w:p>
          <w:p w:rsidR="00BF443B" w:rsidRDefault="00BF443B">
            <w:pPr>
              <w:rPr>
                <w:b/>
              </w:rPr>
            </w:pPr>
          </w:p>
          <w:p w:rsidR="00BF443B" w:rsidRDefault="00BF443B">
            <w:pPr>
              <w:rPr>
                <w:b/>
              </w:rPr>
            </w:pPr>
          </w:p>
          <w:p w:rsidR="00BF443B" w:rsidRDefault="00C2553A">
            <w:r>
              <w:t xml:space="preserve"> </w:t>
            </w:r>
          </w:p>
        </w:tc>
      </w:tr>
      <w:tr w:rsidR="00BF443B">
        <w:trPr>
          <w:jc w:val="center"/>
        </w:trPr>
        <w:tc>
          <w:tcPr>
            <w:tcW w:w="937" w:type="dxa"/>
            <w:vAlign w:val="center"/>
          </w:tcPr>
          <w:p w:rsidR="00BF443B" w:rsidRDefault="00C2553A">
            <w:pPr>
              <w:jc w:val="center"/>
              <w:rPr>
                <w:sz w:val="28"/>
                <w:szCs w:val="28"/>
              </w:rPr>
            </w:pPr>
            <w:r>
              <w:rPr>
                <w:sz w:val="28"/>
                <w:szCs w:val="28"/>
              </w:rPr>
              <w:t>x</w:t>
            </w:r>
          </w:p>
        </w:tc>
        <w:tc>
          <w:tcPr>
            <w:tcW w:w="1052" w:type="dxa"/>
            <w:vAlign w:val="center"/>
          </w:tcPr>
          <w:p w:rsidR="00BF443B" w:rsidRDefault="00BF443B">
            <w:pPr>
              <w:jc w:val="center"/>
              <w:rPr>
                <w:sz w:val="28"/>
                <w:szCs w:val="28"/>
              </w:rPr>
            </w:pPr>
          </w:p>
        </w:tc>
        <w:tc>
          <w:tcPr>
            <w:tcW w:w="758" w:type="dxa"/>
            <w:tcBorders>
              <w:top w:val="single" w:sz="4" w:space="0" w:color="FFFFFF"/>
              <w:bottom w:val="single" w:sz="4" w:space="0" w:color="FFFFFF"/>
            </w:tcBorders>
            <w:shd w:val="clear" w:color="auto" w:fill="000000"/>
            <w:vAlign w:val="center"/>
          </w:tcPr>
          <w:p w:rsidR="00BF443B" w:rsidRDefault="00C2553A">
            <w:pPr>
              <w:rPr>
                <w:color w:val="FFFFFF"/>
                <w:sz w:val="24"/>
                <w:szCs w:val="24"/>
              </w:rPr>
            </w:pPr>
            <w:r>
              <w:rPr>
                <w:color w:val="FFFFFF"/>
                <w:sz w:val="24"/>
                <w:szCs w:val="24"/>
              </w:rPr>
              <w:t>5</w:t>
            </w:r>
          </w:p>
        </w:tc>
        <w:tc>
          <w:tcPr>
            <w:tcW w:w="3060" w:type="dxa"/>
            <w:vAlign w:val="center"/>
          </w:tcPr>
          <w:p w:rsidR="00BF443B" w:rsidRDefault="00C2553A">
            <w:pPr>
              <w:rPr>
                <w:sz w:val="24"/>
                <w:szCs w:val="24"/>
              </w:rPr>
            </w:pPr>
            <w:r>
              <w:rPr>
                <w:sz w:val="24"/>
                <w:szCs w:val="24"/>
              </w:rPr>
              <w:t>Fin de la réuni</w:t>
            </w:r>
            <w:r>
              <w:rPr>
                <w:sz w:val="24"/>
                <w:szCs w:val="24"/>
              </w:rPr>
              <w:t>on</w:t>
            </w:r>
          </w:p>
        </w:tc>
        <w:tc>
          <w:tcPr>
            <w:tcW w:w="4961" w:type="dxa"/>
            <w:vAlign w:val="center"/>
          </w:tcPr>
          <w:p w:rsidR="00BF443B" w:rsidRDefault="00C2553A">
            <w:pPr>
              <w:jc w:val="both"/>
              <w:rPr>
                <w:b/>
              </w:rPr>
            </w:pPr>
            <w:r>
              <w:rPr>
                <w:b/>
              </w:rPr>
              <w:t>fin de la rencontre: 19h12</w:t>
            </w:r>
          </w:p>
          <w:p w:rsidR="00BF443B" w:rsidRDefault="00C2553A">
            <w:pPr>
              <w:jc w:val="both"/>
              <w:rPr>
                <w:b/>
              </w:rPr>
            </w:pPr>
            <w:r>
              <w:rPr>
                <w:b/>
              </w:rPr>
              <w:t>proposée par Mme Julie Mathieu</w:t>
            </w:r>
          </w:p>
          <w:p w:rsidR="00BF443B" w:rsidRDefault="00BF443B">
            <w:pPr>
              <w:jc w:val="both"/>
              <w:rPr>
                <w:b/>
              </w:rPr>
            </w:pPr>
          </w:p>
          <w:p w:rsidR="00BF443B" w:rsidRDefault="00BF443B"/>
        </w:tc>
      </w:tr>
    </w:tbl>
    <w:p w:rsidR="00BF443B" w:rsidRDefault="00BF443B">
      <w:pPr>
        <w:rPr>
          <w:sz w:val="24"/>
          <w:szCs w:val="24"/>
        </w:rPr>
      </w:pPr>
      <w:bookmarkStart w:id="0" w:name="_heading=h.gjdgxs" w:colFirst="0" w:colLast="0"/>
      <w:bookmarkEnd w:id="0"/>
    </w:p>
    <w:sectPr w:rsidR="00BF443B">
      <w:pgSz w:w="12240" w:h="15840"/>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43B"/>
    <w:rsid w:val="00114E6B"/>
    <w:rsid w:val="00BF443B"/>
    <w:rsid w:val="00C255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934EC9-37E3-4B11-A867-1B77D4F4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623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B4F"/>
    <w:pPr>
      <w:ind w:left="720"/>
      <w:contextualSpacing/>
    </w:pPr>
  </w:style>
  <w:style w:type="paragraph" w:styleId="BalloonText">
    <w:name w:val="Balloon Text"/>
    <w:basedOn w:val="Normal"/>
    <w:link w:val="BalloonTextChar"/>
    <w:uiPriority w:val="99"/>
    <w:semiHidden/>
    <w:unhideWhenUsed/>
    <w:rsid w:val="00735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29C"/>
    <w:rPr>
      <w:rFonts w:ascii="Segoe UI" w:hAnsi="Segoe UI" w:cs="Segoe UI"/>
      <w:sz w:val="18"/>
      <w:szCs w:val="18"/>
    </w:rPr>
  </w:style>
  <w:style w:type="table" w:customStyle="1" w:styleId="Grilledutableau1">
    <w:name w:val="Grille du tableau1"/>
    <w:basedOn w:val="TableNormal"/>
    <w:next w:val="TableGrid"/>
    <w:uiPriority w:val="39"/>
    <w:rsid w:val="005B4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UBWyrwDzdg5QwoWwjDYFRybBFA==">AMUW2mU51gZTMpsRhZsWWAfTOfBfEoysmqE+DHZGIyOOz+Io4u34DM607hdXVovh4m5SPhMEgTx4jHQldFPI1/QVJey6kHnr1ExyvRDxrfXwUwPXJWwcc0zi70ehk/2LIBmMqR7sDZu5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CRTC / Le CRTC</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Maio Adriana</dc:creator>
  <cp:revision>1</cp:revision>
  <dcterms:created xsi:type="dcterms:W3CDTF">2022-02-21T16:27:00Z</dcterms:created>
</cp:coreProperties>
</file>